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90.029/2026</w:t>
      </w:r>
    </w:p>
    <w:p w14:paraId="1616DB90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1.429/2026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ascii="Azo Sans Lt" w:hAnsi="Azo Sans Lt" w:cstheme="minorHAnsi"/>
          <w:bCs/>
          <w:szCs w:val="24"/>
          <w:highlight w:val="none"/>
        </w:rPr>
        <w:t xml:space="preserve"> UNITÁRIO</w:t>
      </w:r>
    </w:p>
    <w:p w14:paraId="1B830FA1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ascii="Azo Sans Md" w:hAnsi="Azo Sans Md" w:eastAsia="Times New Roman" w:cstheme="minorHAnsi"/>
          <w:b/>
          <w:szCs w:val="24"/>
        </w:rPr>
        <w:t xml:space="preserve">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CONTRATAÇÃO DE EMPRESA ESPECIALIZADA PARA O FORNECIMENTO DE MEDICAMENTOS CONTROLADOS – ITENS FALTANTES DO PA 9752/2025, PARA ATENDER AS NECESSIDADES DA REDE MUNICIPAL DE SAÚDE PELO PERÍODO DE 01 (UM) ANO</w:t>
      </w:r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.</w:t>
      </w:r>
    </w:p>
    <w:p w14:paraId="1D6D33CC">
      <w:pPr>
        <w:ind w:left="0" w:firstLine="0"/>
        <w:rPr>
          <w:rFonts w:ascii="Azo Sans Md" w:hAnsi="Azo Sans Md"/>
          <w:sz w:val="22"/>
          <w:szCs w:val="22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ascii="Azo Sans Md" w:hAnsi="Azo Sans Md" w:cstheme="minorHAnsi"/>
          <w:b/>
          <w:highlight w:val="none"/>
        </w:rPr>
        <w:t>90.</w:t>
      </w:r>
      <w:r>
        <w:rPr>
          <w:rFonts w:hint="default" w:ascii="Azo Sans Md" w:hAnsi="Azo Sans Md" w:cstheme="minorHAnsi"/>
          <w:b/>
          <w:highlight w:val="none"/>
          <w:lang w:val="pt-BR"/>
        </w:rPr>
        <w:t>029</w:t>
      </w:r>
      <w:r>
        <w:rPr>
          <w:rFonts w:ascii="Azo Sans Md" w:hAnsi="Azo Sans Md" w:cstheme="minorHAnsi"/>
          <w:b/>
          <w:highlight w:val="none"/>
        </w:rPr>
        <w:t>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  <w:szCs w:val="24"/>
          <w:lang w:val="pt-BR" w:eastAsia="pt-BR"/>
        </w:rPr>
        <w:t>REGISTRO DE PREÇOS para futura e eventual CONTRATAÇÃO DE EMPRESA ESPECIALIZADA PARA O FORNECIMENTO DE MEDICAMENTOS CONTROLADOS – ITENS FALTANTES DO PA 9752/2025, PARA ATENDER AS NECESSIDADES DA REDE MUNICIPAL DE SAÚDE PELO PERÍODO DE 01 (UM) ANO</w:t>
      </w:r>
      <w:r>
        <w:rPr>
          <w:rFonts w:hint="default" w:ascii="Azo Sans Md" w:hAnsi="Azo Sans Md" w:eastAsia="Times New Roman" w:cstheme="minorHAnsi"/>
          <w:b/>
          <w:szCs w:val="24"/>
          <w:lang w:val="en-US" w:eastAsia="pt-BR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41AC4B2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23545CF4">
      <w:pPr>
        <w:rPr>
          <w:rFonts w:ascii="Azo Sans Lt" w:hAnsi="Azo Sans Lt" w:cstheme="minorHAnsi"/>
          <w:b/>
          <w:sz w:val="22"/>
        </w:rPr>
      </w:pPr>
      <w:bookmarkStart w:id="0" w:name="_GoBack"/>
      <w:bookmarkEnd w:id="0"/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1D10656B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1B2875BB">
      <w:pPr>
        <w:pStyle w:val="12"/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Declaramos que:</w:t>
      </w:r>
    </w:p>
    <w:p w14:paraId="7A39486B">
      <w:pPr>
        <w:pStyle w:val="12"/>
        <w:ind w:left="0" w:firstLine="0"/>
        <w:rPr>
          <w:rFonts w:ascii="Azo Sans Lt" w:hAnsi="Azo Sans Lt" w:cstheme="minorHAnsi"/>
          <w:sz w:val="22"/>
        </w:rPr>
      </w:pPr>
    </w:p>
    <w:p w14:paraId="029C27A3">
      <w:pPr>
        <w:pStyle w:val="12"/>
        <w:numPr>
          <w:ilvl w:val="0"/>
          <w:numId w:val="2"/>
        </w:numPr>
        <w:tabs>
          <w:tab w:val="left" w:pos="426"/>
          <w:tab w:val="clear" w:pos="993"/>
        </w:tabs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Nos valores propostos estarão inclusos todos os custos operacionais, encargos previdenciários, trabalhistas, tributários, comerciais e quaisquer outros que incidam direta ou indiretamente no fornecimento dos bens;</w:t>
      </w:r>
    </w:p>
    <w:p w14:paraId="3BA947F2">
      <w:pPr>
        <w:pStyle w:val="12"/>
        <w:numPr>
          <w:ilvl w:val="0"/>
          <w:numId w:val="2"/>
        </w:numPr>
        <w:tabs>
          <w:tab w:val="left" w:pos="426"/>
          <w:tab w:val="clear" w:pos="993"/>
        </w:tabs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Os valores pospostos estão abaixo do dos limites do Preço de Fábrica (PF) ou, em caso de aplicação do Coeficiente de Adequação de Preços – CAP, do Preço Máximo de Venda ao Governo (PMVG), definidos pela Câmara de Regulação do Mercado de Medicamentos – CMED/ANVISA;</w:t>
      </w:r>
    </w:p>
    <w:p w14:paraId="6839DD70">
      <w:pPr>
        <w:pStyle w:val="12"/>
        <w:numPr>
          <w:ilvl w:val="0"/>
          <w:numId w:val="2"/>
        </w:numPr>
        <w:tabs>
          <w:tab w:val="left" w:pos="426"/>
          <w:tab w:val="clear" w:pos="993"/>
        </w:tabs>
        <w:ind w:left="0" w:firstLine="0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Os valores propostos observaram a desoneração de ICMS, quando estabelecida em convênios firmados no Conselho Nacional de Política Fazendária – CONFAZ, quando aplicável.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2E70EDD8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15E4B42D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leftChars="0" w:firstLine="0" w:firstLineChars="0"/>
      <w:rPr>
        <w:rFonts w:hint="default"/>
        <w:sz w:val="6"/>
        <w:szCs w:val="6"/>
        <w:lang w:val="pt-BR"/>
      </w:rPr>
    </w:pPr>
  </w:p>
  <w:p w14:paraId="0B09FDC6">
    <w:pPr>
      <w:pStyle w:val="13"/>
      <w:ind w:left="0" w:hanging="284"/>
      <w:rPr>
        <w:sz w:val="6"/>
        <w:szCs w:val="6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073650" cy="1023620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73650" cy="1023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abstractNum w:abstractNumId="1">
    <w:nsid w:val="52990DE1"/>
    <w:multiLevelType w:val="multilevel"/>
    <w:tmpl w:val="52990DE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7272E50"/>
    <w:rsid w:val="36634910"/>
    <w:rsid w:val="3F527E0E"/>
    <w:rsid w:val="6BF2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</Words>
  <Characters>1558</Characters>
  <Lines>12</Lines>
  <Paragraphs>3</Paragraphs>
  <TotalTime>0</TotalTime>
  <ScaleCrop>false</ScaleCrop>
  <LinksUpToDate>false</LinksUpToDate>
  <CharactersWithSpaces>1764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2026-03-24T17:36:04Z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eyJoZGlkIjoiZmYxNmE5NDgxMjg3OWM5NWI1NGU3YjFhMmNhMDgyNWMifQ==</vt:lpwstr>
  </property>
  <property fmtid="{D5CDD505-2E9C-101B-9397-08002B2CF9AE}" pid="3" name="KSOProductBuildVer">
    <vt:lpwstr>1046-12.2.0.23196</vt:lpwstr>
  </property>
  <property fmtid="{D5CDD505-2E9C-101B-9397-08002B2CF9AE}" pid="4" name="ICV">
    <vt:lpwstr>7F8FBE319828405C919B96A7D6653B3A_12</vt:lpwstr>
  </property>
</Properties>
</file>